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r>
        <w:rPr>
          <w:rFonts w:hint="eastAsia"/>
          <w:b/>
          <w:bCs/>
          <w:sz w:val="36"/>
          <w:szCs w:val="36"/>
        </w:rPr>
        <w:t>《食品毒理学》</w:t>
      </w:r>
      <w:r>
        <w:rPr>
          <w:rFonts w:hint="eastAsia" w:ascii="Times New Roman" w:hAnsi="Times New Roman" w:eastAsia="宋体" w:cs="Times New Roman"/>
          <w:b/>
          <w:bCs/>
          <w:sz w:val="36"/>
          <w:szCs w:val="36"/>
        </w:rPr>
        <w:t>实践环节考核课程大纲</w:t>
      </w:r>
    </w:p>
    <w:p>
      <w:pPr>
        <w:widowControl/>
        <w:spacing w:line="360" w:lineRule="auto"/>
        <w:jc w:val="center"/>
        <w:rPr>
          <w:rFonts w:hint="default" w:ascii="Calibri" w:hAnsi="Calibri" w:eastAsia="宋体" w:cs="Times New Roman"/>
          <w:sz w:val="28"/>
          <w:szCs w:val="28"/>
          <w:lang w:val="en-US" w:eastAsia="zh-CN"/>
        </w:rPr>
      </w:pPr>
      <w:r>
        <w:rPr>
          <w:rFonts w:hint="eastAsia" w:ascii="Calibri" w:hAnsi="Calibri" w:eastAsia="宋体" w:cs="Times New Roman"/>
          <w:sz w:val="28"/>
          <w:szCs w:val="28"/>
        </w:rPr>
        <w:t>专业代码：</w:t>
      </w:r>
      <w:r>
        <w:rPr>
          <w:rFonts w:hint="eastAsia" w:ascii="Calibri" w:hAnsi="Calibri" w:eastAsia="宋体" w:cs="Times New Roman"/>
          <w:sz w:val="28"/>
          <w:szCs w:val="28"/>
          <w:lang w:val="en-US" w:eastAsia="zh-CN"/>
        </w:rPr>
        <w:t>100402</w:t>
      </w:r>
      <w:r>
        <w:rPr>
          <w:rFonts w:hint="eastAsia" w:ascii="Calibri" w:hAnsi="Calibri" w:eastAsia="宋体" w:cs="Times New Roman"/>
          <w:sz w:val="28"/>
          <w:szCs w:val="28"/>
        </w:rPr>
        <w:t xml:space="preserve">  课程代码：</w:t>
      </w:r>
      <w:r>
        <w:rPr>
          <w:rFonts w:hint="eastAsia" w:ascii="Calibri" w:hAnsi="Calibri" w:eastAsia="宋体" w:cs="Times New Roman"/>
          <w:sz w:val="28"/>
          <w:szCs w:val="28"/>
          <w:lang w:val="en-US" w:eastAsia="zh-CN"/>
        </w:rPr>
        <w:t>05765</w:t>
      </w:r>
    </w:p>
    <w:p>
      <w:pPr>
        <w:widowControl/>
        <w:spacing w:line="360" w:lineRule="auto"/>
        <w:rPr>
          <w:b/>
          <w:bCs/>
          <w:sz w:val="28"/>
          <w:szCs w:val="28"/>
        </w:rPr>
      </w:pPr>
    </w:p>
    <w:p>
      <w:pPr>
        <w:spacing w:line="360" w:lineRule="auto"/>
        <w:jc w:val="center"/>
        <w:rPr>
          <w:b/>
          <w:sz w:val="28"/>
          <w:szCs w:val="28"/>
        </w:rPr>
      </w:pPr>
      <w:r>
        <w:rPr>
          <w:rFonts w:hint="eastAsia" w:ascii="宋体" w:hAnsi="宋体"/>
          <w:b/>
          <w:sz w:val="28"/>
          <w:szCs w:val="28"/>
        </w:rPr>
        <w:t>实验一</w:t>
      </w:r>
      <w:r>
        <w:rPr>
          <w:rFonts w:hint="eastAsia"/>
          <w:b/>
          <w:sz w:val="28"/>
          <w:szCs w:val="28"/>
        </w:rPr>
        <w:t xml:space="preserve">   </w:t>
      </w:r>
      <w:r>
        <w:rPr>
          <w:rFonts w:ascii="宋体" w:hAnsi="宋体"/>
          <w:b/>
          <w:sz w:val="28"/>
          <w:szCs w:val="28"/>
        </w:rPr>
        <w:t>转基因食品的安全性评价讨论分析</w:t>
      </w:r>
    </w:p>
    <w:p>
      <w:pPr>
        <w:spacing w:line="360" w:lineRule="auto"/>
        <w:rPr>
          <w:b/>
          <w:sz w:val="24"/>
          <w:szCs w:val="24"/>
        </w:rPr>
      </w:pPr>
      <w:r>
        <w:rPr>
          <w:rFonts w:ascii="宋体" w:hAnsi="宋体"/>
          <w:b/>
          <w:sz w:val="24"/>
          <w:szCs w:val="24"/>
        </w:rPr>
        <w:t>【教学目标】</w:t>
      </w:r>
    </w:p>
    <w:p>
      <w:pPr>
        <w:adjustRightInd w:val="0"/>
        <w:spacing w:line="360" w:lineRule="auto"/>
        <w:ind w:firstLine="240" w:firstLineChars="100"/>
        <w:jc w:val="left"/>
        <w:rPr>
          <w:sz w:val="24"/>
          <w:szCs w:val="24"/>
        </w:rPr>
      </w:pPr>
      <w:r>
        <w:rPr>
          <w:rFonts w:hint="eastAsia"/>
          <w:sz w:val="24"/>
          <w:szCs w:val="24"/>
        </w:rPr>
        <w:t xml:space="preserve"> </w:t>
      </w:r>
      <w:r>
        <w:rPr>
          <w:rFonts w:hint="eastAsia" w:ascii="宋体" w:hAnsi="宋体"/>
          <w:sz w:val="24"/>
          <w:szCs w:val="24"/>
        </w:rPr>
        <w:t>以转基因食品为例，学生在理论课学习及查阅文献资料基础上，通过综合讨论、分析，掌握食品毒理学安全性评价的程序、各阶段毒理学实验内容及其选择原则；熟悉转基因食品评价的原则及主要方法；了解我国转基因食品管理制度。培养学生查阅文献、整理资料、提出问题、分析问题和解决问题的能力，以及团队合作、交流表达能力。</w:t>
      </w:r>
    </w:p>
    <w:p>
      <w:pPr>
        <w:spacing w:line="360" w:lineRule="auto"/>
        <w:rPr>
          <w:b/>
          <w:sz w:val="24"/>
          <w:szCs w:val="24"/>
        </w:rPr>
      </w:pPr>
      <w:r>
        <w:rPr>
          <w:rFonts w:ascii="宋体" w:hAnsi="宋体"/>
          <w:b/>
          <w:sz w:val="24"/>
          <w:szCs w:val="24"/>
        </w:rPr>
        <w:t>【教学内容】</w:t>
      </w:r>
    </w:p>
    <w:p>
      <w:pPr>
        <w:pStyle w:val="4"/>
        <w:numPr>
          <w:ilvl w:val="0"/>
          <w:numId w:val="1"/>
        </w:numPr>
        <w:adjustRightInd w:val="0"/>
        <w:spacing w:line="360" w:lineRule="auto"/>
        <w:ind w:left="0" w:firstLine="360" w:firstLineChars="0"/>
        <w:jc w:val="left"/>
        <w:rPr>
          <w:rFonts w:ascii="Times New Roman" w:hAnsi="Times New Roman" w:eastAsia="宋体"/>
          <w:sz w:val="24"/>
          <w:szCs w:val="24"/>
        </w:rPr>
      </w:pPr>
      <w:r>
        <w:rPr>
          <w:rFonts w:hint="eastAsia" w:ascii="宋体" w:hAnsi="宋体" w:eastAsia="宋体"/>
          <w:sz w:val="24"/>
          <w:szCs w:val="24"/>
        </w:rPr>
        <w:t>课前利用课外时间</w:t>
      </w:r>
      <w:bookmarkStart w:id="0" w:name="_GoBack"/>
      <w:bookmarkEnd w:id="0"/>
      <w:r>
        <w:rPr>
          <w:rFonts w:hint="eastAsia" w:ascii="宋体" w:hAnsi="宋体" w:eastAsia="宋体"/>
          <w:sz w:val="24"/>
          <w:szCs w:val="24"/>
        </w:rPr>
        <w:t>，学生预习教材中“第十五章 转基因食品的安全性评价”中内容，并查阅相关文献资料；</w:t>
      </w:r>
    </w:p>
    <w:p>
      <w:pPr>
        <w:pStyle w:val="4"/>
        <w:numPr>
          <w:ilvl w:val="0"/>
          <w:numId w:val="1"/>
        </w:numPr>
        <w:adjustRightInd w:val="0"/>
        <w:spacing w:line="360" w:lineRule="auto"/>
        <w:ind w:left="0" w:firstLine="360" w:firstLineChars="0"/>
        <w:jc w:val="left"/>
        <w:rPr>
          <w:rFonts w:ascii="Times New Roman" w:hAnsi="Times New Roman" w:eastAsia="宋体"/>
          <w:sz w:val="24"/>
          <w:szCs w:val="24"/>
        </w:rPr>
      </w:pPr>
      <w:r>
        <w:rPr>
          <w:rFonts w:hint="eastAsia" w:ascii="宋体" w:hAnsi="宋体" w:eastAsia="宋体"/>
          <w:sz w:val="24"/>
          <w:szCs w:val="24"/>
        </w:rPr>
        <w:t>课前利用课外时间，根据查阅资料制作</w:t>
      </w:r>
      <w:r>
        <w:rPr>
          <w:rFonts w:hint="eastAsia" w:ascii="Times New Roman" w:hAnsi="Times New Roman" w:eastAsia="宋体"/>
          <w:sz w:val="24"/>
          <w:szCs w:val="24"/>
        </w:rPr>
        <w:t>PPT</w:t>
      </w:r>
      <w:r>
        <w:rPr>
          <w:rFonts w:hint="eastAsia" w:ascii="宋体" w:hAnsi="宋体" w:eastAsia="宋体"/>
          <w:sz w:val="24"/>
          <w:szCs w:val="24"/>
        </w:rPr>
        <w:t>，每组同学主要讨论转基因食品的特性及其对机体的损害作用特点、传统的食品安全性评价程序是否适用于转基因食品的安全性评价、目前转基因食品的安全性评价有何新进展、目前哪些新技术和方法可用于转基因食品的安全性评价，毒理学替代法在转基因食品及传统化学物安全性评价中有何意义及价值等问题。</w:t>
      </w:r>
    </w:p>
    <w:p>
      <w:pPr>
        <w:pStyle w:val="4"/>
        <w:numPr>
          <w:ilvl w:val="0"/>
          <w:numId w:val="1"/>
        </w:numPr>
        <w:adjustRightInd w:val="0"/>
        <w:spacing w:line="360" w:lineRule="auto"/>
        <w:ind w:left="0" w:firstLine="360" w:firstLineChars="0"/>
        <w:jc w:val="left"/>
        <w:rPr>
          <w:rFonts w:ascii="Times New Roman" w:hAnsi="Times New Roman" w:eastAsia="宋体"/>
          <w:sz w:val="24"/>
          <w:szCs w:val="24"/>
        </w:rPr>
      </w:pPr>
      <w:r>
        <w:rPr>
          <w:rFonts w:hint="eastAsia" w:ascii="宋体" w:hAnsi="宋体" w:eastAsia="宋体"/>
          <w:sz w:val="24"/>
          <w:szCs w:val="24"/>
        </w:rPr>
        <w:t>课堂上同学分组针对上述问题进行综合分析讨论、交流、教师点评：</w:t>
      </w:r>
      <w:r>
        <w:rPr>
          <w:rFonts w:hint="eastAsia" w:ascii="Times New Roman" w:hAnsi="Times New Roman" w:eastAsia="宋体"/>
          <w:sz w:val="24"/>
          <w:szCs w:val="24"/>
        </w:rPr>
        <w:t>3</w:t>
      </w:r>
      <w:r>
        <w:rPr>
          <w:rFonts w:hint="eastAsia" w:ascii="宋体" w:hAnsi="宋体" w:eastAsia="宋体"/>
          <w:sz w:val="24"/>
          <w:szCs w:val="24"/>
        </w:rPr>
        <w:t>学时。</w:t>
      </w:r>
    </w:p>
    <w:p>
      <w:pPr>
        <w:adjustRightInd w:val="0"/>
        <w:spacing w:line="360" w:lineRule="auto"/>
        <w:jc w:val="left"/>
        <w:rPr>
          <w:rFonts w:hint="eastAsia" w:ascii="宋体" w:hAnsi="宋体" w:eastAsia="宋体"/>
          <w:sz w:val="24"/>
          <w:szCs w:val="24"/>
        </w:rPr>
      </w:pPr>
      <w:r>
        <w:rPr>
          <w:rFonts w:hint="eastAsia" w:ascii="宋体" w:hAnsi="宋体"/>
          <w:sz w:val="24"/>
          <w:szCs w:val="24"/>
        </w:rPr>
        <w:t>【</w:t>
      </w:r>
      <w:r>
        <w:rPr>
          <w:rFonts w:hint="eastAsia" w:ascii="宋体" w:hAnsi="宋体"/>
          <w:b/>
          <w:sz w:val="24"/>
          <w:szCs w:val="24"/>
        </w:rPr>
        <w:t>课程思政</w:t>
      </w:r>
      <w:r>
        <w:rPr>
          <w:rFonts w:hint="eastAsia" w:ascii="宋体" w:hAnsi="宋体"/>
          <w:sz w:val="24"/>
          <w:szCs w:val="24"/>
        </w:rPr>
        <w:t>】</w:t>
      </w:r>
    </w:p>
    <w:p>
      <w:pPr>
        <w:adjustRightInd w:val="0"/>
        <w:spacing w:line="360" w:lineRule="auto"/>
        <w:jc w:val="left"/>
        <w:rPr>
          <w:rFonts w:hint="eastAsia" w:ascii="宋体" w:hAnsi="宋体"/>
          <w:sz w:val="24"/>
          <w:szCs w:val="24"/>
        </w:rPr>
      </w:pPr>
      <w:r>
        <w:rPr>
          <w:rFonts w:hint="eastAsia" w:ascii="宋体" w:hAnsi="宋体"/>
          <w:sz w:val="24"/>
          <w:szCs w:val="24"/>
        </w:rPr>
        <w:t xml:space="preserve">  1.结合社会上对转基因食品有不同声音的案例入手，引导学生利用自己的专业特长，科学、辩证的看待问题，为实现健康中国战略目标贡献力量。</w:t>
      </w:r>
    </w:p>
    <w:p>
      <w:pPr>
        <w:adjustRightInd w:val="0"/>
        <w:spacing w:line="360" w:lineRule="auto"/>
        <w:ind w:firstLine="240" w:firstLineChars="100"/>
        <w:jc w:val="left"/>
        <w:rPr>
          <w:rFonts w:hint="eastAsia" w:ascii="Times New Roman" w:hAnsi="Times New Roman"/>
          <w:sz w:val="24"/>
          <w:szCs w:val="24"/>
        </w:rPr>
      </w:pPr>
      <w:r>
        <w:rPr>
          <w:rFonts w:hint="eastAsia" w:ascii="宋体" w:hAnsi="宋体"/>
          <w:sz w:val="24"/>
          <w:szCs w:val="24"/>
        </w:rPr>
        <w:t>2. 通过讨论，培养学生</w:t>
      </w:r>
      <w:r>
        <w:rPr>
          <w:rFonts w:ascii="宋体" w:hAnsi="宋体"/>
          <w:sz w:val="24"/>
          <w:szCs w:val="24"/>
        </w:rPr>
        <w:t>实事求是</w:t>
      </w:r>
      <w:r>
        <w:rPr>
          <w:rFonts w:hint="eastAsia" w:ascii="宋体" w:hAnsi="宋体"/>
          <w:sz w:val="24"/>
          <w:szCs w:val="24"/>
        </w:rPr>
        <w:t>、</w:t>
      </w:r>
      <w:r>
        <w:rPr>
          <w:rFonts w:ascii="宋体" w:hAnsi="宋体"/>
          <w:sz w:val="24"/>
          <w:szCs w:val="24"/>
        </w:rPr>
        <w:t>严肃认真的科学态度</w:t>
      </w:r>
      <w:r>
        <w:rPr>
          <w:rFonts w:hint="eastAsia" w:ascii="宋体" w:hAnsi="宋体"/>
          <w:sz w:val="24"/>
          <w:szCs w:val="24"/>
        </w:rPr>
        <w:t>和严谨</w:t>
      </w:r>
      <w:r>
        <w:rPr>
          <w:rFonts w:ascii="宋体" w:hAnsi="宋体"/>
          <w:sz w:val="24"/>
          <w:szCs w:val="24"/>
        </w:rPr>
        <w:t>科学的学习方法</w:t>
      </w:r>
      <w:r>
        <w:rPr>
          <w:rFonts w:hint="eastAsia" w:ascii="宋体" w:hAnsi="宋体"/>
          <w:sz w:val="24"/>
          <w:szCs w:val="24"/>
        </w:rPr>
        <w:t>。</w:t>
      </w:r>
    </w:p>
    <w:p>
      <w:pPr>
        <w:adjustRightInd w:val="0"/>
        <w:spacing w:line="360" w:lineRule="auto"/>
        <w:jc w:val="left"/>
        <w:rPr>
          <w:b/>
          <w:sz w:val="24"/>
          <w:szCs w:val="24"/>
        </w:rPr>
      </w:pPr>
      <w:r>
        <w:rPr>
          <w:rFonts w:ascii="宋体" w:hAnsi="宋体"/>
          <w:b/>
          <w:sz w:val="24"/>
          <w:szCs w:val="24"/>
        </w:rPr>
        <w:t>【教学方式】</w:t>
      </w:r>
    </w:p>
    <w:p>
      <w:pPr>
        <w:adjustRightInd w:val="0"/>
        <w:spacing w:line="360" w:lineRule="auto"/>
        <w:ind w:firstLine="480" w:firstLineChars="200"/>
        <w:jc w:val="left"/>
        <w:rPr>
          <w:sz w:val="24"/>
          <w:szCs w:val="24"/>
        </w:rPr>
      </w:pPr>
      <w:r>
        <w:rPr>
          <w:rFonts w:ascii="宋体" w:hAnsi="宋体"/>
          <w:sz w:val="24"/>
          <w:szCs w:val="24"/>
        </w:rPr>
        <w:t>以</w:t>
      </w:r>
      <w:r>
        <w:rPr>
          <w:rFonts w:hint="eastAsia" w:ascii="宋体" w:hAnsi="宋体"/>
          <w:sz w:val="24"/>
          <w:szCs w:val="24"/>
        </w:rPr>
        <w:t>学生资料查阅和课堂讨论</w:t>
      </w:r>
      <w:r>
        <w:rPr>
          <w:rFonts w:ascii="宋体" w:hAnsi="宋体"/>
          <w:sz w:val="24"/>
          <w:szCs w:val="24"/>
        </w:rPr>
        <w:t>相结合的方式进行课程的组织</w:t>
      </w:r>
    </w:p>
    <w:p>
      <w:pPr>
        <w:pStyle w:val="4"/>
        <w:numPr>
          <w:ilvl w:val="0"/>
          <w:numId w:val="2"/>
        </w:numPr>
        <w:adjustRightInd w:val="0"/>
        <w:spacing w:line="360" w:lineRule="auto"/>
        <w:ind w:left="0" w:firstLine="426" w:firstLineChars="0"/>
        <w:jc w:val="left"/>
        <w:rPr>
          <w:rFonts w:ascii="Times New Roman" w:hAnsi="Times New Roman" w:eastAsia="宋体"/>
          <w:sz w:val="24"/>
          <w:szCs w:val="24"/>
        </w:rPr>
      </w:pPr>
      <w:r>
        <w:rPr>
          <w:rFonts w:hint="eastAsia" w:ascii="宋体" w:hAnsi="宋体" w:eastAsia="宋体"/>
          <w:sz w:val="24"/>
          <w:szCs w:val="24"/>
        </w:rPr>
        <w:t>课前给引导学生查阅相关文献资料，分组准备相关讨论内容。</w:t>
      </w:r>
    </w:p>
    <w:p>
      <w:pPr>
        <w:pStyle w:val="4"/>
        <w:numPr>
          <w:ilvl w:val="0"/>
          <w:numId w:val="2"/>
        </w:numPr>
        <w:adjustRightInd w:val="0"/>
        <w:spacing w:line="360" w:lineRule="auto"/>
        <w:ind w:left="0" w:firstLine="426" w:firstLineChars="0"/>
        <w:jc w:val="left"/>
        <w:rPr>
          <w:rFonts w:ascii="Times New Roman" w:hAnsi="Times New Roman" w:eastAsia="宋体"/>
          <w:sz w:val="24"/>
          <w:szCs w:val="24"/>
        </w:rPr>
      </w:pPr>
      <w:r>
        <w:rPr>
          <w:rFonts w:hint="eastAsia" w:ascii="宋体" w:hAnsi="宋体" w:eastAsia="宋体"/>
          <w:sz w:val="24"/>
          <w:szCs w:val="24"/>
        </w:rPr>
        <w:t>课堂分组讨论：各组推荐一名同学以</w:t>
      </w:r>
      <w:r>
        <w:rPr>
          <w:rFonts w:hint="eastAsia" w:ascii="Times New Roman" w:hAnsi="Times New Roman" w:eastAsia="宋体"/>
          <w:sz w:val="24"/>
          <w:szCs w:val="24"/>
        </w:rPr>
        <w:t>PPT</w:t>
      </w:r>
      <w:r>
        <w:rPr>
          <w:rFonts w:hint="eastAsia" w:ascii="宋体" w:hAnsi="宋体" w:eastAsia="宋体"/>
          <w:sz w:val="24"/>
          <w:szCs w:val="24"/>
        </w:rPr>
        <w:t>形式对讨论结果进行汇报，组内其他同学进行补充；其他组同学对改组同学的分析讨论结果进行点评、讨论。</w:t>
      </w:r>
    </w:p>
    <w:p>
      <w:pPr>
        <w:pStyle w:val="4"/>
        <w:numPr>
          <w:ilvl w:val="0"/>
          <w:numId w:val="2"/>
        </w:numPr>
        <w:adjustRightInd w:val="0"/>
        <w:spacing w:line="360" w:lineRule="auto"/>
        <w:ind w:left="0" w:firstLine="426" w:firstLineChars="0"/>
        <w:jc w:val="left"/>
        <w:rPr>
          <w:rFonts w:ascii="Times New Roman" w:hAnsi="Times New Roman" w:eastAsia="宋体"/>
          <w:sz w:val="24"/>
          <w:szCs w:val="24"/>
        </w:rPr>
      </w:pPr>
      <w:r>
        <w:rPr>
          <w:rFonts w:hint="eastAsia" w:ascii="宋体" w:hAnsi="宋体" w:eastAsia="宋体"/>
          <w:sz w:val="24"/>
          <w:szCs w:val="24"/>
        </w:rPr>
        <w:t>授课教师进行总结、综合分析讨论点评等。</w:t>
      </w:r>
    </w:p>
    <w:p>
      <w:pPr>
        <w:spacing w:line="360" w:lineRule="auto"/>
        <w:rPr>
          <w:rFonts w:ascii="Times New Roman" w:hAnsi="Times New Roman" w:eastAsia="宋体"/>
          <w:sz w:val="24"/>
          <w:szCs w:val="24"/>
        </w:rPr>
      </w:pPr>
      <w:r>
        <w:rPr>
          <w:rFonts w:ascii="宋体" w:hAnsi="宋体"/>
          <w:b/>
          <w:sz w:val="24"/>
          <w:szCs w:val="24"/>
        </w:rPr>
        <w:t>【学时数】</w:t>
      </w:r>
      <w:r>
        <w:rPr>
          <w:rFonts w:hint="eastAsia"/>
          <w:sz w:val="24"/>
          <w:szCs w:val="24"/>
        </w:rPr>
        <w:t xml:space="preserve"> </w:t>
      </w:r>
      <w:r>
        <w:rPr>
          <w:sz w:val="24"/>
          <w:szCs w:val="24"/>
        </w:rPr>
        <w:t>6</w:t>
      </w:r>
      <w:r>
        <w:rPr>
          <w:rFonts w:hint="eastAsia" w:ascii="宋体" w:hAnsi="宋体"/>
          <w:sz w:val="24"/>
          <w:szCs w:val="24"/>
        </w:rPr>
        <w:t xml:space="preserve">学时 </w:t>
      </w:r>
    </w:p>
    <w:p>
      <w:pPr>
        <w:spacing w:line="360" w:lineRule="auto"/>
        <w:rPr>
          <w:sz w:val="24"/>
          <w:szCs w:val="24"/>
        </w:rPr>
      </w:pPr>
      <w:r>
        <w:rPr>
          <w:sz w:val="24"/>
          <w:szCs w:val="24"/>
        </w:rPr>
        <w:t xml:space="preserve"> </w:t>
      </w:r>
    </w:p>
    <w:p>
      <w:pPr>
        <w:spacing w:line="360" w:lineRule="auto"/>
        <w:jc w:val="center"/>
        <w:rPr>
          <w:b/>
          <w:sz w:val="28"/>
          <w:szCs w:val="28"/>
        </w:rPr>
      </w:pPr>
      <w:r>
        <w:rPr>
          <w:rFonts w:ascii="宋体" w:hAnsi="宋体"/>
          <w:b/>
          <w:sz w:val="28"/>
          <w:szCs w:val="28"/>
        </w:rPr>
        <w:t>实验</w:t>
      </w:r>
      <w:r>
        <w:rPr>
          <w:rFonts w:hint="eastAsia" w:ascii="宋体" w:hAnsi="宋体"/>
          <w:b/>
          <w:sz w:val="28"/>
          <w:szCs w:val="28"/>
        </w:rPr>
        <w:t>二</w:t>
      </w:r>
      <w:r>
        <w:rPr>
          <w:rFonts w:hint="eastAsia"/>
          <w:b/>
          <w:sz w:val="28"/>
          <w:szCs w:val="28"/>
        </w:rPr>
        <w:t xml:space="preserve">   </w:t>
      </w:r>
      <w:r>
        <w:rPr>
          <w:rFonts w:hint="eastAsia" w:ascii="宋体" w:hAnsi="宋体"/>
          <w:b/>
          <w:sz w:val="28"/>
          <w:szCs w:val="28"/>
        </w:rPr>
        <w:t>营养素过量的毒性及其评价</w:t>
      </w:r>
    </w:p>
    <w:p>
      <w:pPr>
        <w:spacing w:line="360" w:lineRule="auto"/>
        <w:jc w:val="left"/>
        <w:rPr>
          <w:b/>
          <w:sz w:val="24"/>
          <w:szCs w:val="24"/>
        </w:rPr>
      </w:pPr>
      <w:r>
        <w:rPr>
          <w:rFonts w:ascii="宋体" w:hAnsi="宋体"/>
          <w:b/>
          <w:sz w:val="24"/>
          <w:szCs w:val="24"/>
        </w:rPr>
        <w:t>【教学目标】</w:t>
      </w:r>
    </w:p>
    <w:p>
      <w:pPr>
        <w:spacing w:line="360" w:lineRule="auto"/>
        <w:ind w:firstLine="480" w:firstLineChars="200"/>
        <w:rPr>
          <w:sz w:val="24"/>
          <w:szCs w:val="24"/>
        </w:rPr>
      </w:pPr>
      <w:r>
        <w:rPr>
          <w:rFonts w:hint="eastAsia" w:ascii="宋体" w:hAnsi="宋体"/>
          <w:sz w:val="24"/>
          <w:szCs w:val="24"/>
        </w:rPr>
        <w:t>以营养素为例，学生在理论课学习及查阅文献资料基础上，通过综合讨论、分析，掌握营养素安全风险评估的方法和内容，了解营养素的管理制度。培养学生查阅文献、整理资料、提出问题、分析问题和解决问题的能力，以及团队合作、交流表达能力。</w:t>
      </w:r>
    </w:p>
    <w:p>
      <w:pPr>
        <w:spacing w:line="360" w:lineRule="auto"/>
        <w:rPr>
          <w:b/>
          <w:sz w:val="24"/>
          <w:szCs w:val="24"/>
        </w:rPr>
      </w:pPr>
      <w:r>
        <w:rPr>
          <w:rFonts w:ascii="宋体" w:hAnsi="宋体"/>
          <w:b/>
          <w:sz w:val="24"/>
          <w:szCs w:val="24"/>
        </w:rPr>
        <w:t>【教学内容】</w:t>
      </w:r>
    </w:p>
    <w:p>
      <w:pPr>
        <w:pStyle w:val="4"/>
        <w:numPr>
          <w:ilvl w:val="0"/>
          <w:numId w:val="3"/>
        </w:numPr>
        <w:spacing w:line="360" w:lineRule="auto"/>
        <w:ind w:left="0" w:firstLine="424" w:firstLineChars="177"/>
        <w:rPr>
          <w:rFonts w:ascii="Times New Roman" w:hAnsi="Times New Roman" w:eastAsia="宋体"/>
          <w:sz w:val="24"/>
          <w:szCs w:val="24"/>
        </w:rPr>
      </w:pPr>
      <w:r>
        <w:rPr>
          <w:rFonts w:hint="eastAsia" w:ascii="宋体" w:hAnsi="宋体" w:eastAsia="宋体"/>
          <w:sz w:val="24"/>
          <w:szCs w:val="24"/>
        </w:rPr>
        <w:t>课前利用课外时间，学生查阅文献资料；</w:t>
      </w:r>
    </w:p>
    <w:p>
      <w:pPr>
        <w:pStyle w:val="4"/>
        <w:numPr>
          <w:ilvl w:val="0"/>
          <w:numId w:val="3"/>
        </w:numPr>
        <w:spacing w:line="360" w:lineRule="auto"/>
        <w:ind w:left="0" w:firstLine="424" w:firstLineChars="177"/>
        <w:rPr>
          <w:rFonts w:ascii="Times New Roman" w:hAnsi="Times New Roman" w:eastAsia="宋体"/>
          <w:sz w:val="24"/>
          <w:szCs w:val="24"/>
        </w:rPr>
      </w:pPr>
      <w:r>
        <w:rPr>
          <w:rFonts w:ascii="宋体" w:hAnsi="宋体" w:eastAsia="宋体"/>
          <w:sz w:val="24"/>
          <w:szCs w:val="24"/>
        </w:rPr>
        <w:t>组织课堂讨论：</w:t>
      </w:r>
      <w:r>
        <w:rPr>
          <w:rFonts w:hint="eastAsia" w:ascii="宋体" w:hAnsi="宋体" w:eastAsia="宋体"/>
          <w:sz w:val="24"/>
          <w:szCs w:val="24"/>
        </w:rPr>
        <w:t>每组同学以不同种营养素为例，根据查阅资料制作</w:t>
      </w:r>
      <w:r>
        <w:rPr>
          <w:rFonts w:hint="eastAsia" w:ascii="Times New Roman" w:hAnsi="Times New Roman" w:eastAsia="宋体"/>
          <w:sz w:val="24"/>
          <w:szCs w:val="24"/>
        </w:rPr>
        <w:t>PPT</w:t>
      </w:r>
      <w:r>
        <w:rPr>
          <w:rFonts w:hint="eastAsia" w:ascii="宋体" w:hAnsi="宋体" w:eastAsia="宋体"/>
          <w:sz w:val="24"/>
          <w:szCs w:val="24"/>
        </w:rPr>
        <w:t>，营养素过量</w:t>
      </w:r>
      <w:r>
        <w:rPr>
          <w:rFonts w:hint="eastAsia" w:ascii="Times New Roman" w:hAnsi="Times New Roman" w:eastAsia="宋体"/>
          <w:sz w:val="24"/>
          <w:szCs w:val="24"/>
        </w:rPr>
        <w:t>/</w:t>
      </w:r>
      <w:r>
        <w:rPr>
          <w:rFonts w:hint="eastAsia" w:ascii="宋体" w:hAnsi="宋体" w:eastAsia="宋体"/>
          <w:sz w:val="24"/>
          <w:szCs w:val="24"/>
        </w:rPr>
        <w:t>缺乏带来的健康危害进行讨论。</w:t>
      </w:r>
    </w:p>
    <w:p>
      <w:pPr>
        <w:pStyle w:val="4"/>
        <w:numPr>
          <w:ilvl w:val="0"/>
          <w:numId w:val="3"/>
        </w:numPr>
        <w:spacing w:line="360" w:lineRule="auto"/>
        <w:ind w:left="0" w:firstLine="424" w:firstLineChars="177"/>
        <w:rPr>
          <w:rFonts w:ascii="Times New Roman" w:hAnsi="Times New Roman" w:eastAsia="宋体"/>
          <w:sz w:val="24"/>
          <w:szCs w:val="24"/>
        </w:rPr>
      </w:pPr>
      <w:r>
        <w:rPr>
          <w:rFonts w:hint="eastAsia" w:ascii="宋体" w:hAnsi="宋体" w:eastAsia="宋体"/>
          <w:sz w:val="24"/>
          <w:szCs w:val="24"/>
        </w:rPr>
        <w:t>每组同学综合分析讨论、交流、教师点评。</w:t>
      </w:r>
    </w:p>
    <w:p>
      <w:pPr>
        <w:pStyle w:val="4"/>
        <w:spacing w:line="360" w:lineRule="auto"/>
        <w:ind w:firstLine="0" w:firstLineChars="0"/>
        <w:rPr>
          <w:rFonts w:hint="eastAsia" w:ascii="Times New Roman" w:hAnsi="Times New Roman" w:eastAsia="宋体"/>
          <w:sz w:val="24"/>
          <w:szCs w:val="24"/>
        </w:rPr>
      </w:pPr>
      <w:r>
        <w:rPr>
          <w:rFonts w:hint="eastAsia" w:ascii="宋体" w:hAnsi="宋体"/>
          <w:b/>
          <w:sz w:val="24"/>
          <w:szCs w:val="24"/>
        </w:rPr>
        <w:t>【课程思政</w:t>
      </w:r>
      <w:r>
        <w:rPr>
          <w:rFonts w:hint="eastAsia" w:ascii="宋体" w:hAnsi="宋体"/>
          <w:sz w:val="24"/>
          <w:szCs w:val="24"/>
        </w:rPr>
        <w:t>】</w:t>
      </w:r>
    </w:p>
    <w:p>
      <w:pPr>
        <w:spacing w:line="360" w:lineRule="auto"/>
        <w:ind w:firstLine="480" w:firstLineChars="200"/>
        <w:rPr>
          <w:rFonts w:hint="eastAsia" w:ascii="Times New Roman" w:hAnsi="Times New Roman"/>
          <w:sz w:val="24"/>
          <w:szCs w:val="24"/>
        </w:rPr>
      </w:pPr>
      <w:r>
        <w:rPr>
          <w:rFonts w:hint="eastAsia"/>
          <w:sz w:val="24"/>
          <w:szCs w:val="24"/>
        </w:rPr>
        <w:t xml:space="preserve">1. </w:t>
      </w:r>
      <w:r>
        <w:rPr>
          <w:rFonts w:hint="eastAsia" w:ascii="宋体" w:hAnsi="宋体"/>
          <w:sz w:val="24"/>
          <w:szCs w:val="24"/>
        </w:rPr>
        <w:t>帮助学生理解毒理学在经济社会发展中的重要作用，增加专业认同感。</w:t>
      </w:r>
    </w:p>
    <w:p>
      <w:pPr>
        <w:spacing w:line="360" w:lineRule="auto"/>
        <w:ind w:firstLine="480" w:firstLineChars="200"/>
        <w:rPr>
          <w:rFonts w:hint="eastAsia"/>
          <w:sz w:val="24"/>
          <w:szCs w:val="24"/>
        </w:rPr>
      </w:pPr>
      <w:r>
        <w:rPr>
          <w:rFonts w:hint="eastAsia"/>
          <w:sz w:val="24"/>
          <w:szCs w:val="24"/>
        </w:rPr>
        <w:t xml:space="preserve">2. </w:t>
      </w:r>
      <w:r>
        <w:rPr>
          <w:rFonts w:hint="eastAsia" w:ascii="宋体" w:hAnsi="宋体"/>
          <w:sz w:val="24"/>
          <w:szCs w:val="24"/>
        </w:rPr>
        <w:t>培养学生用发展的眼光看待问题，树立无畏的责任担当和敬业精神。</w:t>
      </w:r>
    </w:p>
    <w:p>
      <w:pPr>
        <w:spacing w:line="360" w:lineRule="auto"/>
        <w:ind w:left="482" w:hanging="482" w:hangingChars="200"/>
        <w:rPr>
          <w:b/>
          <w:sz w:val="24"/>
          <w:szCs w:val="24"/>
        </w:rPr>
      </w:pPr>
      <w:r>
        <w:rPr>
          <w:rFonts w:ascii="宋体" w:hAnsi="宋体"/>
          <w:b/>
          <w:sz w:val="24"/>
          <w:szCs w:val="24"/>
        </w:rPr>
        <w:t>【教学方式】</w:t>
      </w:r>
    </w:p>
    <w:p>
      <w:pPr>
        <w:spacing w:line="360" w:lineRule="auto"/>
        <w:ind w:left="420" w:leftChars="200"/>
        <w:rPr>
          <w:sz w:val="24"/>
          <w:szCs w:val="24"/>
        </w:rPr>
      </w:pPr>
      <w:r>
        <w:rPr>
          <w:rFonts w:hint="eastAsia" w:ascii="宋体" w:hAnsi="宋体"/>
          <w:sz w:val="24"/>
          <w:szCs w:val="24"/>
        </w:rPr>
        <w:t>以学生资料查阅和课堂讨论的方式进行课程的组织：</w:t>
      </w:r>
    </w:p>
    <w:p>
      <w:pPr>
        <w:adjustRightInd w:val="0"/>
        <w:spacing w:line="360" w:lineRule="auto"/>
        <w:ind w:firstLine="422" w:firstLineChars="176"/>
        <w:jc w:val="left"/>
        <w:rPr>
          <w:sz w:val="24"/>
          <w:szCs w:val="24"/>
        </w:rPr>
      </w:pPr>
      <w:r>
        <w:rPr>
          <w:rFonts w:hint="eastAsia"/>
          <w:sz w:val="24"/>
          <w:szCs w:val="24"/>
        </w:rPr>
        <w:t>1.</w:t>
      </w:r>
      <w:r>
        <w:rPr>
          <w:rFonts w:hint="eastAsia"/>
          <w:sz w:val="24"/>
          <w:szCs w:val="24"/>
        </w:rPr>
        <w:tab/>
      </w:r>
      <w:r>
        <w:rPr>
          <w:rFonts w:hint="eastAsia" w:ascii="宋体" w:hAnsi="宋体"/>
          <w:sz w:val="24"/>
          <w:szCs w:val="24"/>
        </w:rPr>
        <w:t>课前引导学生查阅相关文献资料，准备相关讨论内容。</w:t>
      </w:r>
    </w:p>
    <w:p>
      <w:pPr>
        <w:adjustRightInd w:val="0"/>
        <w:spacing w:line="360" w:lineRule="auto"/>
        <w:ind w:firstLine="422" w:firstLineChars="176"/>
        <w:jc w:val="left"/>
        <w:rPr>
          <w:sz w:val="24"/>
          <w:szCs w:val="24"/>
        </w:rPr>
      </w:pPr>
      <w:r>
        <w:rPr>
          <w:rFonts w:hint="eastAsia"/>
          <w:sz w:val="24"/>
          <w:szCs w:val="24"/>
        </w:rPr>
        <w:t>2.</w:t>
      </w:r>
      <w:r>
        <w:rPr>
          <w:rFonts w:hint="eastAsia"/>
          <w:sz w:val="24"/>
          <w:szCs w:val="24"/>
        </w:rPr>
        <w:tab/>
      </w:r>
      <w:r>
        <w:rPr>
          <w:rFonts w:hint="eastAsia" w:ascii="宋体" w:hAnsi="宋体"/>
          <w:sz w:val="24"/>
          <w:szCs w:val="24"/>
        </w:rPr>
        <w:t>课堂分析讨论：各组推荐一名同学以</w:t>
      </w:r>
      <w:r>
        <w:rPr>
          <w:rFonts w:hint="eastAsia"/>
          <w:sz w:val="24"/>
          <w:szCs w:val="24"/>
        </w:rPr>
        <w:t>PPT</w:t>
      </w:r>
      <w:r>
        <w:rPr>
          <w:rFonts w:hint="eastAsia" w:ascii="宋体" w:hAnsi="宋体"/>
          <w:sz w:val="24"/>
          <w:szCs w:val="24"/>
        </w:rPr>
        <w:t>形式进行对讨论结果进行汇报，组内其他同学进行补充；其他组同学对该组同学的分析讨论结果进行点评、讨论。</w:t>
      </w:r>
    </w:p>
    <w:p>
      <w:pPr>
        <w:adjustRightInd w:val="0"/>
        <w:spacing w:line="360" w:lineRule="auto"/>
        <w:ind w:firstLine="422" w:firstLineChars="176"/>
        <w:jc w:val="left"/>
        <w:rPr>
          <w:sz w:val="24"/>
          <w:szCs w:val="24"/>
        </w:rPr>
      </w:pPr>
      <w:r>
        <w:rPr>
          <w:rFonts w:hint="eastAsia"/>
          <w:sz w:val="24"/>
          <w:szCs w:val="24"/>
        </w:rPr>
        <w:t>3.</w:t>
      </w:r>
      <w:r>
        <w:rPr>
          <w:rFonts w:hint="eastAsia"/>
          <w:sz w:val="24"/>
          <w:szCs w:val="24"/>
        </w:rPr>
        <w:tab/>
      </w:r>
      <w:r>
        <w:rPr>
          <w:rFonts w:hint="eastAsia" w:ascii="宋体" w:hAnsi="宋体"/>
          <w:sz w:val="24"/>
          <w:szCs w:val="24"/>
        </w:rPr>
        <w:t>授课教师进行总结、综合分析讨论点评等。</w:t>
      </w:r>
    </w:p>
    <w:p>
      <w:pPr>
        <w:spacing w:line="360" w:lineRule="auto"/>
        <w:rPr>
          <w:sz w:val="24"/>
          <w:szCs w:val="24"/>
        </w:rPr>
      </w:pPr>
      <w:r>
        <w:rPr>
          <w:rFonts w:ascii="宋体" w:hAnsi="宋体"/>
          <w:b/>
          <w:sz w:val="24"/>
          <w:szCs w:val="24"/>
        </w:rPr>
        <w:t>【学时数】</w:t>
      </w:r>
      <w:r>
        <w:rPr>
          <w:sz w:val="24"/>
          <w:szCs w:val="24"/>
        </w:rPr>
        <w:t>6</w:t>
      </w:r>
      <w:r>
        <w:rPr>
          <w:rFonts w:ascii="宋体" w:hAnsi="宋体"/>
          <w:sz w:val="24"/>
          <w:szCs w:val="24"/>
        </w:rPr>
        <w:t>学时</w:t>
      </w:r>
    </w:p>
    <w:p>
      <w:pPr>
        <w:spacing w:line="360" w:lineRule="auto"/>
        <w:jc w:val="left"/>
        <w:rPr>
          <w:b/>
          <w:bCs/>
          <w:sz w:val="28"/>
          <w:szCs w:val="28"/>
        </w:rPr>
      </w:pPr>
    </w:p>
    <w:p>
      <w:pPr>
        <w:spacing w:line="360" w:lineRule="auto"/>
        <w:jc w:val="left"/>
        <w:rPr>
          <w:b/>
          <w:bCs/>
          <w:sz w:val="28"/>
          <w:szCs w:val="28"/>
        </w:rPr>
      </w:pPr>
    </w:p>
    <w:p>
      <w:pPr>
        <w:spacing w:line="360" w:lineRule="auto"/>
        <w:jc w:val="center"/>
        <w:rPr>
          <w:b/>
          <w:sz w:val="28"/>
          <w:szCs w:val="28"/>
        </w:rPr>
      </w:pPr>
      <w:r>
        <w:rPr>
          <w:rFonts w:ascii="宋体" w:hAnsi="宋体"/>
          <w:b/>
          <w:sz w:val="28"/>
          <w:szCs w:val="28"/>
        </w:rPr>
        <w:t>实验</w:t>
      </w:r>
      <w:r>
        <w:rPr>
          <w:rFonts w:hint="eastAsia" w:ascii="宋体" w:hAnsi="宋体"/>
          <w:b/>
          <w:sz w:val="28"/>
          <w:szCs w:val="28"/>
        </w:rPr>
        <w:t>三</w:t>
      </w:r>
      <w:r>
        <w:rPr>
          <w:rFonts w:hint="eastAsia"/>
          <w:b/>
          <w:sz w:val="28"/>
          <w:szCs w:val="28"/>
        </w:rPr>
        <w:t xml:space="preserve">  </w:t>
      </w:r>
      <w:r>
        <w:rPr>
          <w:rFonts w:hint="eastAsia" w:ascii="宋体" w:hAnsi="宋体"/>
          <w:b/>
          <w:sz w:val="28"/>
          <w:szCs w:val="28"/>
        </w:rPr>
        <w:t>分子生物学技术在食品毒理学中的应用与发展</w:t>
      </w:r>
    </w:p>
    <w:p>
      <w:pPr>
        <w:adjustRightInd w:val="0"/>
        <w:spacing w:line="360" w:lineRule="auto"/>
        <w:ind w:firstLine="480" w:firstLineChars="200"/>
        <w:jc w:val="left"/>
        <w:rPr>
          <w:sz w:val="24"/>
          <w:szCs w:val="24"/>
        </w:rPr>
      </w:pPr>
      <w:r>
        <w:rPr>
          <w:rFonts w:hint="eastAsia" w:ascii="宋体" w:hAnsi="宋体"/>
          <w:sz w:val="24"/>
          <w:szCs w:val="24"/>
        </w:rPr>
        <w:t>学生在理论课学习及查阅文献资料基础上，通过综合讨论、分析，掌握分子生物学技术在食品毒理学中的应用及发展趋势。培养学生查阅文献、整理资料、提出问题、分析问题和解决问题的能力，以及团队合作、交流表达能力。</w:t>
      </w:r>
    </w:p>
    <w:p>
      <w:pPr>
        <w:spacing w:line="360" w:lineRule="auto"/>
        <w:rPr>
          <w:b/>
          <w:sz w:val="24"/>
          <w:szCs w:val="24"/>
        </w:rPr>
      </w:pPr>
      <w:r>
        <w:rPr>
          <w:rFonts w:ascii="宋体" w:hAnsi="宋体"/>
          <w:b/>
          <w:sz w:val="24"/>
          <w:szCs w:val="24"/>
        </w:rPr>
        <w:t>【教学内容】</w:t>
      </w:r>
    </w:p>
    <w:p>
      <w:pPr>
        <w:pStyle w:val="4"/>
        <w:numPr>
          <w:ilvl w:val="0"/>
          <w:numId w:val="4"/>
        </w:numPr>
        <w:adjustRightInd w:val="0"/>
        <w:spacing w:line="360" w:lineRule="auto"/>
        <w:ind w:firstLineChars="0"/>
        <w:jc w:val="left"/>
        <w:rPr>
          <w:rFonts w:ascii="Times New Roman" w:hAnsi="Times New Roman" w:eastAsia="宋体"/>
          <w:sz w:val="24"/>
          <w:szCs w:val="24"/>
        </w:rPr>
      </w:pPr>
      <w:r>
        <w:rPr>
          <w:rFonts w:hint="eastAsia" w:ascii="宋体" w:hAnsi="宋体" w:eastAsia="宋体"/>
          <w:sz w:val="24"/>
          <w:szCs w:val="24"/>
        </w:rPr>
        <w:t>课前利用课外时间，查阅相关文献资料；</w:t>
      </w:r>
    </w:p>
    <w:p>
      <w:pPr>
        <w:pStyle w:val="4"/>
        <w:numPr>
          <w:ilvl w:val="0"/>
          <w:numId w:val="4"/>
        </w:numPr>
        <w:adjustRightInd w:val="0"/>
        <w:spacing w:line="360" w:lineRule="auto"/>
        <w:ind w:left="0" w:firstLine="360" w:firstLineChars="0"/>
        <w:jc w:val="left"/>
        <w:rPr>
          <w:rFonts w:ascii="Times New Roman" w:hAnsi="Times New Roman" w:eastAsia="宋体"/>
          <w:sz w:val="24"/>
          <w:szCs w:val="24"/>
        </w:rPr>
      </w:pPr>
      <w:r>
        <w:rPr>
          <w:rFonts w:hint="eastAsia" w:ascii="宋体" w:hAnsi="宋体" w:eastAsia="宋体"/>
          <w:sz w:val="24"/>
          <w:szCs w:val="24"/>
        </w:rPr>
        <w:t>课前利用课外时间，根据查阅资料制作</w:t>
      </w:r>
      <w:r>
        <w:rPr>
          <w:rFonts w:hint="eastAsia" w:ascii="Times New Roman" w:hAnsi="Times New Roman" w:eastAsia="宋体"/>
          <w:sz w:val="24"/>
          <w:szCs w:val="24"/>
        </w:rPr>
        <w:t>PPT</w:t>
      </w:r>
      <w:r>
        <w:rPr>
          <w:rFonts w:hint="eastAsia" w:ascii="宋体" w:hAnsi="宋体" w:eastAsia="宋体"/>
          <w:sz w:val="24"/>
          <w:szCs w:val="24"/>
        </w:rPr>
        <w:t>，每组同学就食品毒理学的评价中所运用的分子生物学技术等问题进行汇报。</w:t>
      </w:r>
    </w:p>
    <w:p>
      <w:pPr>
        <w:pStyle w:val="4"/>
        <w:numPr>
          <w:ilvl w:val="0"/>
          <w:numId w:val="4"/>
        </w:numPr>
        <w:adjustRightInd w:val="0"/>
        <w:spacing w:line="360" w:lineRule="auto"/>
        <w:ind w:left="0" w:firstLine="360" w:firstLineChars="0"/>
        <w:jc w:val="left"/>
        <w:rPr>
          <w:rFonts w:ascii="Times New Roman" w:hAnsi="Times New Roman" w:eastAsia="宋体"/>
          <w:sz w:val="24"/>
          <w:szCs w:val="24"/>
        </w:rPr>
      </w:pPr>
      <w:r>
        <w:rPr>
          <w:rFonts w:hint="eastAsia" w:ascii="宋体" w:hAnsi="宋体" w:eastAsia="宋体"/>
          <w:sz w:val="24"/>
          <w:szCs w:val="24"/>
        </w:rPr>
        <w:t>课堂上同学分组针对上述问题进行综合分析讨论、交流、教师点评：</w:t>
      </w:r>
      <w:r>
        <w:rPr>
          <w:rFonts w:hint="eastAsia" w:ascii="Times New Roman" w:hAnsi="Times New Roman" w:eastAsia="宋体"/>
          <w:sz w:val="24"/>
          <w:szCs w:val="24"/>
        </w:rPr>
        <w:t>3</w:t>
      </w:r>
      <w:r>
        <w:rPr>
          <w:rFonts w:hint="eastAsia" w:ascii="宋体" w:hAnsi="宋体" w:eastAsia="宋体"/>
          <w:sz w:val="24"/>
          <w:szCs w:val="24"/>
        </w:rPr>
        <w:t>学生。</w:t>
      </w:r>
    </w:p>
    <w:p>
      <w:pPr>
        <w:adjustRightInd w:val="0"/>
        <w:spacing w:line="360" w:lineRule="auto"/>
        <w:jc w:val="left"/>
        <w:rPr>
          <w:rFonts w:hint="eastAsia" w:ascii="宋体" w:hAnsi="宋体" w:eastAsia="宋体"/>
          <w:sz w:val="24"/>
          <w:szCs w:val="24"/>
        </w:rPr>
      </w:pPr>
      <w:r>
        <w:rPr>
          <w:rFonts w:hint="eastAsia" w:ascii="宋体" w:hAnsi="宋体"/>
          <w:sz w:val="24"/>
          <w:szCs w:val="24"/>
        </w:rPr>
        <w:t>【</w:t>
      </w:r>
      <w:r>
        <w:rPr>
          <w:rFonts w:hint="eastAsia" w:ascii="宋体" w:hAnsi="宋体"/>
          <w:b/>
          <w:sz w:val="24"/>
          <w:szCs w:val="24"/>
        </w:rPr>
        <w:t>课程思政</w:t>
      </w:r>
      <w:r>
        <w:rPr>
          <w:rFonts w:hint="eastAsia" w:ascii="宋体" w:hAnsi="宋体"/>
          <w:sz w:val="24"/>
          <w:szCs w:val="24"/>
        </w:rPr>
        <w:t>】</w:t>
      </w:r>
    </w:p>
    <w:p>
      <w:pPr>
        <w:spacing w:line="360" w:lineRule="auto"/>
        <w:ind w:firstLine="480" w:firstLineChars="200"/>
        <w:rPr>
          <w:rFonts w:hint="eastAsia" w:ascii="Times New Roman" w:hAnsi="Times New Roman"/>
          <w:sz w:val="24"/>
          <w:szCs w:val="24"/>
        </w:rPr>
      </w:pPr>
      <w:r>
        <w:rPr>
          <w:rFonts w:hint="eastAsia"/>
          <w:sz w:val="24"/>
          <w:szCs w:val="24"/>
        </w:rPr>
        <w:t xml:space="preserve">1. </w:t>
      </w:r>
      <w:r>
        <w:rPr>
          <w:rFonts w:hint="eastAsia" w:ascii="宋体" w:hAnsi="宋体"/>
          <w:sz w:val="24"/>
          <w:szCs w:val="24"/>
        </w:rPr>
        <w:t>帮助学生理解毒理学在经济社会发展中的重要作用，增加专业认同感。</w:t>
      </w:r>
    </w:p>
    <w:p>
      <w:pPr>
        <w:adjustRightInd w:val="0"/>
        <w:spacing w:line="360" w:lineRule="auto"/>
        <w:ind w:firstLine="480" w:firstLineChars="200"/>
        <w:jc w:val="left"/>
        <w:rPr>
          <w:rFonts w:hint="eastAsia"/>
          <w:sz w:val="24"/>
          <w:szCs w:val="24"/>
        </w:rPr>
      </w:pPr>
      <w:r>
        <w:rPr>
          <w:rFonts w:hint="eastAsia"/>
          <w:sz w:val="24"/>
          <w:szCs w:val="24"/>
        </w:rPr>
        <w:t xml:space="preserve">2. </w:t>
      </w:r>
      <w:r>
        <w:rPr>
          <w:rFonts w:hint="eastAsia" w:ascii="宋体" w:hAnsi="宋体"/>
          <w:sz w:val="24"/>
          <w:szCs w:val="24"/>
        </w:rPr>
        <w:t>在科学技术日新月异的今天，培养学生用发展的眼光看待问题， 帮助学生树立为国家脱贫攻坚、乡村振兴以及实现健康中国战略目标贡献力量的理想信念。</w:t>
      </w:r>
    </w:p>
    <w:p>
      <w:pPr>
        <w:adjustRightInd w:val="0"/>
        <w:spacing w:line="360" w:lineRule="auto"/>
        <w:jc w:val="left"/>
        <w:rPr>
          <w:sz w:val="24"/>
          <w:szCs w:val="24"/>
        </w:rPr>
      </w:pPr>
      <w:r>
        <w:rPr>
          <w:rFonts w:ascii="宋体" w:hAnsi="宋体"/>
          <w:sz w:val="24"/>
          <w:szCs w:val="24"/>
        </w:rPr>
        <w:t>【</w:t>
      </w:r>
      <w:r>
        <w:rPr>
          <w:rFonts w:ascii="宋体" w:hAnsi="宋体"/>
          <w:b/>
          <w:sz w:val="24"/>
          <w:szCs w:val="24"/>
        </w:rPr>
        <w:t>教学方式</w:t>
      </w:r>
      <w:r>
        <w:rPr>
          <w:rFonts w:ascii="宋体" w:hAnsi="宋体"/>
          <w:sz w:val="24"/>
          <w:szCs w:val="24"/>
        </w:rPr>
        <w:t>】</w:t>
      </w:r>
    </w:p>
    <w:p>
      <w:pPr>
        <w:adjustRightInd w:val="0"/>
        <w:spacing w:line="360" w:lineRule="auto"/>
        <w:ind w:firstLine="480" w:firstLineChars="200"/>
        <w:jc w:val="left"/>
        <w:rPr>
          <w:sz w:val="24"/>
          <w:szCs w:val="24"/>
        </w:rPr>
      </w:pPr>
      <w:r>
        <w:rPr>
          <w:rFonts w:ascii="宋体" w:hAnsi="宋体"/>
          <w:sz w:val="24"/>
          <w:szCs w:val="24"/>
        </w:rPr>
        <w:t>以</w:t>
      </w:r>
      <w:r>
        <w:rPr>
          <w:rFonts w:hint="eastAsia" w:ascii="宋体" w:hAnsi="宋体"/>
          <w:sz w:val="24"/>
          <w:szCs w:val="24"/>
        </w:rPr>
        <w:t>学生资料查阅和课堂讨论</w:t>
      </w:r>
      <w:r>
        <w:rPr>
          <w:rFonts w:ascii="宋体" w:hAnsi="宋体"/>
          <w:sz w:val="24"/>
          <w:szCs w:val="24"/>
        </w:rPr>
        <w:t>的方式进行课程的组织</w:t>
      </w:r>
    </w:p>
    <w:p>
      <w:pPr>
        <w:pStyle w:val="4"/>
        <w:numPr>
          <w:ilvl w:val="0"/>
          <w:numId w:val="5"/>
        </w:numPr>
        <w:adjustRightInd w:val="0"/>
        <w:spacing w:line="360" w:lineRule="auto"/>
        <w:ind w:left="0" w:firstLine="426" w:firstLineChars="0"/>
        <w:jc w:val="left"/>
        <w:rPr>
          <w:rFonts w:ascii="Times New Roman" w:hAnsi="Times New Roman" w:eastAsia="宋体"/>
          <w:sz w:val="24"/>
          <w:szCs w:val="24"/>
        </w:rPr>
      </w:pPr>
      <w:r>
        <w:rPr>
          <w:rFonts w:hint="eastAsia" w:ascii="宋体" w:hAnsi="宋体" w:eastAsia="宋体"/>
          <w:sz w:val="24"/>
          <w:szCs w:val="24"/>
        </w:rPr>
        <w:t>课前给引导学生查阅相关文献资料，分组准备相关讨论内容。</w:t>
      </w:r>
    </w:p>
    <w:p>
      <w:pPr>
        <w:pStyle w:val="4"/>
        <w:numPr>
          <w:ilvl w:val="0"/>
          <w:numId w:val="5"/>
        </w:numPr>
        <w:adjustRightInd w:val="0"/>
        <w:spacing w:line="360" w:lineRule="auto"/>
        <w:ind w:left="0" w:firstLine="426" w:firstLineChars="0"/>
        <w:jc w:val="left"/>
        <w:rPr>
          <w:rFonts w:ascii="Times New Roman" w:hAnsi="Times New Roman" w:eastAsia="宋体"/>
          <w:sz w:val="24"/>
          <w:szCs w:val="24"/>
        </w:rPr>
      </w:pPr>
      <w:r>
        <w:rPr>
          <w:rFonts w:hint="eastAsia" w:ascii="宋体" w:hAnsi="宋体" w:eastAsia="宋体"/>
          <w:sz w:val="24"/>
          <w:szCs w:val="24"/>
        </w:rPr>
        <w:t>课堂分组讨论：各组推荐一名同学以</w:t>
      </w:r>
      <w:r>
        <w:rPr>
          <w:rFonts w:hint="eastAsia" w:ascii="Times New Roman" w:hAnsi="Times New Roman" w:eastAsia="宋体"/>
          <w:sz w:val="24"/>
          <w:szCs w:val="24"/>
        </w:rPr>
        <w:t>PPT</w:t>
      </w:r>
      <w:r>
        <w:rPr>
          <w:rFonts w:hint="eastAsia" w:ascii="宋体" w:hAnsi="宋体" w:eastAsia="宋体"/>
          <w:sz w:val="24"/>
          <w:szCs w:val="24"/>
        </w:rPr>
        <w:t>形式对讨论结果进行汇报，组内其他同学进行补充；其他组同学对改组同学的分析讨论结果进行点评、讨论。</w:t>
      </w:r>
    </w:p>
    <w:p>
      <w:pPr>
        <w:pStyle w:val="4"/>
        <w:numPr>
          <w:ilvl w:val="0"/>
          <w:numId w:val="5"/>
        </w:numPr>
        <w:adjustRightInd w:val="0"/>
        <w:spacing w:line="360" w:lineRule="auto"/>
        <w:ind w:left="0" w:firstLine="426" w:firstLineChars="0"/>
        <w:jc w:val="left"/>
        <w:rPr>
          <w:rFonts w:ascii="Times New Roman" w:hAnsi="Times New Roman" w:eastAsia="宋体"/>
          <w:sz w:val="24"/>
          <w:szCs w:val="24"/>
        </w:rPr>
      </w:pPr>
      <w:r>
        <w:rPr>
          <w:rFonts w:hint="eastAsia" w:ascii="宋体" w:hAnsi="宋体" w:eastAsia="宋体"/>
          <w:sz w:val="24"/>
          <w:szCs w:val="24"/>
        </w:rPr>
        <w:t>授课教师进行总结、综合分析讨论点评等。</w:t>
      </w:r>
    </w:p>
    <w:p>
      <w:pPr>
        <w:spacing w:line="360" w:lineRule="auto"/>
        <w:ind w:left="360"/>
        <w:rPr>
          <w:rFonts w:hint="eastAsia" w:ascii="Times New Roman" w:hAnsi="Times New Roman" w:eastAsia="宋体"/>
          <w:sz w:val="24"/>
          <w:szCs w:val="24"/>
        </w:rPr>
      </w:pPr>
      <w:r>
        <w:rPr>
          <w:rFonts w:ascii="宋体" w:hAnsi="宋体"/>
          <w:b/>
          <w:sz w:val="24"/>
          <w:szCs w:val="24"/>
        </w:rPr>
        <w:t>【学时数】</w:t>
      </w:r>
      <w:r>
        <w:rPr>
          <w:sz w:val="24"/>
          <w:szCs w:val="24"/>
        </w:rPr>
        <w:t>6</w:t>
      </w:r>
      <w:r>
        <w:rPr>
          <w:rFonts w:ascii="宋体" w:hAnsi="宋体"/>
          <w:sz w:val="24"/>
          <w:szCs w:val="24"/>
        </w:rPr>
        <w:t>学时</w:t>
      </w:r>
    </w:p>
    <w:p>
      <w:pPr>
        <w:spacing w:line="360" w:lineRule="auto"/>
        <w:jc w:val="left"/>
        <w:rPr>
          <w:rFonts w:hint="eastAsia"/>
          <w:b/>
          <w:bCs/>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44984"/>
    <w:multiLevelType w:val="multilevel"/>
    <w:tmpl w:val="15744984"/>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3D9C4C97"/>
    <w:multiLevelType w:val="multilevel"/>
    <w:tmpl w:val="3D9C4C97"/>
    <w:lvl w:ilvl="0" w:tentative="0">
      <w:start w:val="1"/>
      <w:numFmt w:val="decimal"/>
      <w:lvlText w:val="%1."/>
      <w:lvlJc w:val="left"/>
      <w:pPr>
        <w:ind w:left="720" w:hanging="360"/>
      </w:pPr>
      <w:rPr>
        <w:rFonts w:hint="default" w:ascii="Times New Roman" w:hAnsi="宋体" w:cs="Times New Roman"/>
      </w:rPr>
    </w:lvl>
    <w:lvl w:ilvl="1" w:tentative="0">
      <w:start w:val="1"/>
      <w:numFmt w:val="lowerLetter"/>
      <w:lvlText w:val="%2)"/>
      <w:lvlJc w:val="left"/>
      <w:pPr>
        <w:ind w:left="1200" w:hanging="420"/>
      </w:pPr>
      <w:rPr>
        <w:rFonts w:hint="default" w:ascii="Times New Roman" w:hAnsi="Times New Roman" w:cs="Times New Roman"/>
      </w:rPr>
    </w:lvl>
    <w:lvl w:ilvl="2" w:tentative="0">
      <w:start w:val="1"/>
      <w:numFmt w:val="lowerRoman"/>
      <w:lvlText w:val="%3."/>
      <w:lvlJc w:val="right"/>
      <w:pPr>
        <w:ind w:left="1620" w:hanging="420"/>
      </w:pPr>
      <w:rPr>
        <w:rFonts w:hint="default" w:ascii="Times New Roman" w:hAnsi="Times New Roman" w:cs="Times New Roman"/>
      </w:rPr>
    </w:lvl>
    <w:lvl w:ilvl="3" w:tentative="0">
      <w:start w:val="1"/>
      <w:numFmt w:val="decimal"/>
      <w:lvlText w:val="%4."/>
      <w:lvlJc w:val="left"/>
      <w:pPr>
        <w:ind w:left="2040" w:hanging="420"/>
      </w:pPr>
      <w:rPr>
        <w:rFonts w:hint="default" w:ascii="Times New Roman" w:hAnsi="Times New Roman" w:cs="Times New Roman"/>
      </w:rPr>
    </w:lvl>
    <w:lvl w:ilvl="4" w:tentative="0">
      <w:start w:val="1"/>
      <w:numFmt w:val="lowerLetter"/>
      <w:lvlText w:val="%5)"/>
      <w:lvlJc w:val="left"/>
      <w:pPr>
        <w:ind w:left="2460" w:hanging="420"/>
      </w:pPr>
      <w:rPr>
        <w:rFonts w:hint="default" w:ascii="Times New Roman" w:hAnsi="Times New Roman" w:cs="Times New Roman"/>
      </w:rPr>
    </w:lvl>
    <w:lvl w:ilvl="5" w:tentative="0">
      <w:start w:val="1"/>
      <w:numFmt w:val="lowerRoman"/>
      <w:lvlText w:val="%6."/>
      <w:lvlJc w:val="right"/>
      <w:pPr>
        <w:ind w:left="2880" w:hanging="420"/>
      </w:pPr>
      <w:rPr>
        <w:rFonts w:hint="default" w:ascii="Times New Roman" w:hAnsi="Times New Roman" w:cs="Times New Roman"/>
      </w:rPr>
    </w:lvl>
    <w:lvl w:ilvl="6" w:tentative="0">
      <w:start w:val="1"/>
      <w:numFmt w:val="decimal"/>
      <w:lvlText w:val="%7."/>
      <w:lvlJc w:val="left"/>
      <w:pPr>
        <w:ind w:left="3300" w:hanging="420"/>
      </w:pPr>
      <w:rPr>
        <w:rFonts w:hint="default" w:ascii="Times New Roman" w:hAnsi="Times New Roman" w:cs="Times New Roman"/>
      </w:rPr>
    </w:lvl>
    <w:lvl w:ilvl="7" w:tentative="0">
      <w:start w:val="1"/>
      <w:numFmt w:val="lowerLetter"/>
      <w:lvlText w:val="%8)"/>
      <w:lvlJc w:val="left"/>
      <w:pPr>
        <w:ind w:left="3720" w:hanging="420"/>
      </w:pPr>
      <w:rPr>
        <w:rFonts w:hint="default" w:ascii="Times New Roman" w:hAnsi="Times New Roman" w:cs="Times New Roman"/>
      </w:rPr>
    </w:lvl>
    <w:lvl w:ilvl="8" w:tentative="0">
      <w:start w:val="1"/>
      <w:numFmt w:val="lowerRoman"/>
      <w:lvlText w:val="%9."/>
      <w:lvlJc w:val="right"/>
      <w:pPr>
        <w:ind w:left="4140" w:hanging="420"/>
      </w:pPr>
      <w:rPr>
        <w:rFonts w:hint="default" w:ascii="Times New Roman" w:hAnsi="Times New Roman" w:cs="Times New Roman"/>
      </w:rPr>
    </w:lvl>
  </w:abstractNum>
  <w:abstractNum w:abstractNumId="2">
    <w:nsid w:val="6C194475"/>
    <w:multiLevelType w:val="multilevel"/>
    <w:tmpl w:val="6C194475"/>
    <w:lvl w:ilvl="0" w:tentative="0">
      <w:start w:val="1"/>
      <w:numFmt w:val="decimal"/>
      <w:lvlText w:val="%1."/>
      <w:lvlJc w:val="left"/>
      <w:pPr>
        <w:ind w:left="720" w:hanging="360"/>
      </w:pPr>
      <w:rPr>
        <w:rFonts w:hint="default" w:ascii="Times New Roman" w:hAnsi="宋体" w:cs="Times New Roman"/>
      </w:rPr>
    </w:lvl>
    <w:lvl w:ilvl="1" w:tentative="0">
      <w:start w:val="1"/>
      <w:numFmt w:val="lowerLetter"/>
      <w:lvlText w:val="%2)"/>
      <w:lvlJc w:val="left"/>
      <w:pPr>
        <w:ind w:left="1200" w:hanging="420"/>
      </w:pPr>
      <w:rPr>
        <w:rFonts w:hint="default" w:ascii="Times New Roman" w:hAnsi="Times New Roman" w:cs="Times New Roman"/>
      </w:rPr>
    </w:lvl>
    <w:lvl w:ilvl="2" w:tentative="0">
      <w:start w:val="1"/>
      <w:numFmt w:val="lowerRoman"/>
      <w:lvlText w:val="%3."/>
      <w:lvlJc w:val="right"/>
      <w:pPr>
        <w:ind w:left="1620" w:hanging="420"/>
      </w:pPr>
      <w:rPr>
        <w:rFonts w:hint="default" w:ascii="Times New Roman" w:hAnsi="Times New Roman" w:cs="Times New Roman"/>
      </w:rPr>
    </w:lvl>
    <w:lvl w:ilvl="3" w:tentative="0">
      <w:start w:val="1"/>
      <w:numFmt w:val="decimal"/>
      <w:lvlText w:val="%4."/>
      <w:lvlJc w:val="left"/>
      <w:pPr>
        <w:ind w:left="2040" w:hanging="420"/>
      </w:pPr>
      <w:rPr>
        <w:rFonts w:hint="default" w:ascii="Times New Roman" w:hAnsi="Times New Roman" w:cs="Times New Roman"/>
      </w:rPr>
    </w:lvl>
    <w:lvl w:ilvl="4" w:tentative="0">
      <w:start w:val="1"/>
      <w:numFmt w:val="lowerLetter"/>
      <w:lvlText w:val="%5)"/>
      <w:lvlJc w:val="left"/>
      <w:pPr>
        <w:ind w:left="2460" w:hanging="420"/>
      </w:pPr>
      <w:rPr>
        <w:rFonts w:hint="default" w:ascii="Times New Roman" w:hAnsi="Times New Roman" w:cs="Times New Roman"/>
      </w:rPr>
    </w:lvl>
    <w:lvl w:ilvl="5" w:tentative="0">
      <w:start w:val="1"/>
      <w:numFmt w:val="lowerRoman"/>
      <w:lvlText w:val="%6."/>
      <w:lvlJc w:val="right"/>
      <w:pPr>
        <w:ind w:left="2880" w:hanging="420"/>
      </w:pPr>
      <w:rPr>
        <w:rFonts w:hint="default" w:ascii="Times New Roman" w:hAnsi="Times New Roman" w:cs="Times New Roman"/>
      </w:rPr>
    </w:lvl>
    <w:lvl w:ilvl="6" w:tentative="0">
      <w:start w:val="1"/>
      <w:numFmt w:val="decimal"/>
      <w:lvlText w:val="%7."/>
      <w:lvlJc w:val="left"/>
      <w:pPr>
        <w:ind w:left="3300" w:hanging="420"/>
      </w:pPr>
      <w:rPr>
        <w:rFonts w:hint="default" w:ascii="Times New Roman" w:hAnsi="Times New Roman" w:cs="Times New Roman"/>
      </w:rPr>
    </w:lvl>
    <w:lvl w:ilvl="7" w:tentative="0">
      <w:start w:val="1"/>
      <w:numFmt w:val="lowerLetter"/>
      <w:lvlText w:val="%8)"/>
      <w:lvlJc w:val="left"/>
      <w:pPr>
        <w:ind w:left="3720" w:hanging="420"/>
      </w:pPr>
      <w:rPr>
        <w:rFonts w:hint="default" w:ascii="Times New Roman" w:hAnsi="Times New Roman" w:cs="Times New Roman"/>
      </w:rPr>
    </w:lvl>
    <w:lvl w:ilvl="8" w:tentative="0">
      <w:start w:val="1"/>
      <w:numFmt w:val="lowerRoman"/>
      <w:lvlText w:val="%9."/>
      <w:lvlJc w:val="right"/>
      <w:pPr>
        <w:ind w:left="4140" w:hanging="420"/>
      </w:pPr>
      <w:rPr>
        <w:rFonts w:hint="default" w:ascii="Times New Roman" w:hAnsi="Times New Roman" w:cs="Times New Roman"/>
      </w:rPr>
    </w:lvl>
  </w:abstractNum>
  <w:abstractNum w:abstractNumId="3">
    <w:nsid w:val="764D278C"/>
    <w:multiLevelType w:val="multilevel"/>
    <w:tmpl w:val="764D278C"/>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
    <w:nsid w:val="7B64015B"/>
    <w:multiLevelType w:val="multilevel"/>
    <w:tmpl w:val="7B64015B"/>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85694A"/>
    <w:rsid w:val="74294F31"/>
    <w:rsid w:val="7AF675CE"/>
    <w:rsid w:val="7E856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rPr>
      <w:rFonts w:ascii="等线" w:hAnsi="等线" w:eastAsia="等线"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2024-01-11T06:57:00Z</dcterms:created>
  <dc:creator>gao qian</dc:creator>
  <cp:lastModifiedBy>gao qian</cp:lastModifiedBy>
  <dcterms:modified xsi:type="dcterms:W3CDTF">2024-07-15T02:50:06Z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ies>
</file>